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both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</w:t>
      </w:r>
    </w:p>
    <w:p>
      <w:pPr>
        <w:spacing w:line="740" w:lineRule="exact"/>
        <w:jc w:val="both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spacing w:line="74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临汾市人事争议仲裁委员会办公室</w:t>
      </w:r>
    </w:p>
    <w:p>
      <w:pPr>
        <w:spacing w:line="7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2017年单位情况及增减说明</w:t>
      </w:r>
    </w:p>
    <w:p>
      <w:pPr>
        <w:spacing w:line="540" w:lineRule="exact"/>
        <w:rPr>
          <w:rFonts w:hint="eastAsia"/>
          <w:b/>
          <w:sz w:val="32"/>
          <w:szCs w:val="32"/>
        </w:rPr>
      </w:pPr>
    </w:p>
    <w:p>
      <w:pPr>
        <w:spacing w:line="540" w:lineRule="exact"/>
        <w:rPr>
          <w:rFonts w:hint="eastAsia"/>
          <w:b/>
          <w:sz w:val="32"/>
          <w:szCs w:val="32"/>
        </w:rPr>
      </w:pPr>
      <w:r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  <w:t>一、单位基本情况及职责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临汾市人事争议仲裁委员会办公室经市编办批准，于2005年成立，编制人数3人，实有人数3人，行政级别为科级。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主要负责指导全市人事争议仲裁工作。办理市直单位人事争议案件以及事业单位工作人员聘用合同签证。</w:t>
      </w:r>
    </w:p>
    <w:p>
      <w:pPr>
        <w:spacing w:line="540" w:lineRule="exact"/>
        <w:outlineLvl w:val="0"/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  <w:t>二、部门预算安排情况：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jc w:val="both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ascii="仿宋_GB2312" w:hAnsi="仿宋_GB2312" w:eastAsia="仿宋_GB2312"/>
          <w:sz w:val="32"/>
        </w:rPr>
        <w:t>2017年收入安排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26.82</w:t>
      </w:r>
      <w:r>
        <w:rPr>
          <w:rFonts w:ascii="仿宋_GB2312" w:hAnsi="仿宋_GB2312" w:eastAsia="仿宋_GB2312"/>
          <w:sz w:val="32"/>
        </w:rPr>
        <w:t>万元，其中：财政补助收入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26.82</w:t>
      </w:r>
      <w:r>
        <w:rPr>
          <w:rFonts w:ascii="仿宋_GB2312" w:hAnsi="仿宋_GB2312" w:eastAsia="仿宋_GB2312"/>
          <w:sz w:val="32"/>
        </w:rPr>
        <w:t>万元，纳入预算管理的非税收入拨款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</w:t>
      </w:r>
      <w:r>
        <w:rPr>
          <w:rFonts w:ascii="仿宋_GB2312" w:hAnsi="仿宋_GB2312" w:eastAsia="仿宋_GB2312"/>
          <w:sz w:val="32"/>
        </w:rPr>
        <w:t>万元，财政专户管理的非税收入拨款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</w:t>
      </w:r>
      <w:r>
        <w:rPr>
          <w:rFonts w:ascii="仿宋_GB2312" w:hAnsi="仿宋_GB2312" w:eastAsia="仿宋_GB2312"/>
          <w:sz w:val="32"/>
        </w:rPr>
        <w:t>万元。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按照收支平衡原则，2017年支出安排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26.82</w:t>
      </w:r>
      <w:r>
        <w:rPr>
          <w:rFonts w:ascii="仿宋_GB2312" w:hAnsi="仿宋_GB2312" w:eastAsia="仿宋_GB2312"/>
          <w:sz w:val="32"/>
        </w:rPr>
        <w:t>万元。其中:基本支出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23.82</w:t>
      </w:r>
      <w:r>
        <w:rPr>
          <w:rFonts w:ascii="仿宋_GB2312" w:hAnsi="仿宋_GB2312" w:eastAsia="仿宋_GB2312"/>
          <w:sz w:val="32"/>
        </w:rPr>
        <w:t>万元,分别为人员支出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22.97</w:t>
      </w:r>
      <w:r>
        <w:rPr>
          <w:rFonts w:ascii="仿宋_GB2312" w:hAnsi="仿宋_GB2312" w:eastAsia="仿宋_GB2312"/>
          <w:sz w:val="32"/>
        </w:rPr>
        <w:t>万元，日常公用支出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0.85</w:t>
      </w:r>
      <w:r>
        <w:rPr>
          <w:rFonts w:ascii="仿宋_GB2312" w:hAnsi="仿宋_GB2312" w:eastAsia="仿宋_GB2312"/>
          <w:sz w:val="32"/>
        </w:rPr>
        <w:t>万元；项目支出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3.00</w:t>
      </w:r>
      <w:r>
        <w:rPr>
          <w:rFonts w:ascii="仿宋_GB2312" w:hAnsi="仿宋_GB2312" w:eastAsia="仿宋_GB2312"/>
          <w:sz w:val="32"/>
        </w:rPr>
        <w:t>万元，分别为：项目Ⅰ类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1.00</w:t>
      </w:r>
      <w:r>
        <w:rPr>
          <w:rFonts w:ascii="仿宋_GB2312" w:hAnsi="仿宋_GB2312" w:eastAsia="仿宋_GB2312"/>
          <w:sz w:val="32"/>
        </w:rPr>
        <w:t>万元，项目Ⅱ类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</w:t>
      </w:r>
      <w:r>
        <w:rPr>
          <w:rFonts w:ascii="仿宋_GB2312" w:hAnsi="仿宋_GB2312" w:eastAsia="仿宋_GB2312"/>
          <w:sz w:val="32"/>
        </w:rPr>
        <w:t xml:space="preserve"> 万元，项目Ⅲ类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2.00</w:t>
      </w:r>
      <w:r>
        <w:rPr>
          <w:rFonts w:ascii="仿宋_GB2312" w:hAnsi="仿宋_GB2312" w:eastAsia="仿宋_GB2312"/>
          <w:sz w:val="32"/>
        </w:rPr>
        <w:t>万元，项目Ⅳ类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</w:t>
      </w:r>
      <w:r>
        <w:rPr>
          <w:rFonts w:ascii="仿宋_GB2312" w:hAnsi="仿宋_GB2312" w:eastAsia="仿宋_GB2312"/>
          <w:sz w:val="32"/>
        </w:rPr>
        <w:t>万元。</w:t>
      </w:r>
    </w:p>
    <w:p>
      <w:pPr>
        <w:spacing w:line="540" w:lineRule="exac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ascii="仿宋_GB2312" w:hAnsi="仿宋_GB2312" w:eastAsia="仿宋_GB2312"/>
          <w:sz w:val="32"/>
        </w:rPr>
        <w:t>2017年“三公”经费预算控制额度共计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0.50</w:t>
      </w:r>
      <w:r>
        <w:rPr>
          <w:rFonts w:ascii="仿宋_GB2312" w:hAnsi="仿宋_GB2312" w:eastAsia="仿宋_GB2312"/>
          <w:sz w:val="32"/>
        </w:rPr>
        <w:t>万元，其中：公务接待费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0.50</w:t>
      </w:r>
      <w:r>
        <w:rPr>
          <w:rFonts w:ascii="仿宋_GB2312" w:hAnsi="仿宋_GB2312" w:eastAsia="仿宋_GB2312"/>
          <w:sz w:val="32"/>
        </w:rPr>
        <w:t xml:space="preserve"> 万元，公务车辆运行维护费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>0</w:t>
      </w:r>
      <w:r>
        <w:rPr>
          <w:rFonts w:ascii="仿宋_GB2312" w:hAnsi="仿宋_GB2312" w:eastAsia="仿宋_GB2312"/>
          <w:sz w:val="32"/>
        </w:rPr>
        <w:t>万元。</w:t>
      </w:r>
    </w:p>
    <w:p>
      <w:pPr>
        <w:spacing w:line="540" w:lineRule="exact"/>
        <w:outlineLvl w:val="0"/>
        <w:rPr>
          <w:rFonts w:hint="eastAsia"/>
          <w:sz w:val="32"/>
          <w:szCs w:val="32"/>
        </w:rPr>
      </w:pPr>
      <w:r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  <w:t>部门预算数据变动情况和原因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 xml:space="preserve">2017年人员支出比2016年增加 </w:t>
      </w:r>
      <w:r>
        <w:rPr>
          <w:rFonts w:hint="eastAsia" w:ascii="仿宋_GB2312" w:hAnsi="仿宋_GB2312" w:eastAsia="仿宋_GB2312"/>
          <w:sz w:val="32"/>
          <w:lang w:val="en-US" w:eastAsia="zh-CN"/>
        </w:rPr>
        <w:t>1.70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val="en-US" w:eastAsia="zh-CN"/>
        </w:rPr>
        <w:t>增长8%，</w:t>
      </w:r>
      <w:r>
        <w:rPr>
          <w:rFonts w:hint="eastAsia" w:ascii="仿宋_GB2312" w:hAnsi="仿宋_GB2312" w:eastAsia="仿宋_GB2312"/>
          <w:sz w:val="32"/>
        </w:rPr>
        <w:t>原因是人员工资增资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2017年</w:t>
      </w:r>
      <w:r>
        <w:rPr>
          <w:rFonts w:hint="eastAsia" w:ascii="仿宋_GB2312" w:hAnsi="仿宋_GB2312" w:eastAsia="仿宋_GB2312"/>
          <w:sz w:val="32"/>
          <w:lang w:val="en-US" w:eastAsia="zh-CN"/>
        </w:rPr>
        <w:t>机关运行经费</w:t>
      </w:r>
      <w:r>
        <w:rPr>
          <w:rFonts w:hint="eastAsia" w:ascii="仿宋_GB2312" w:hAnsi="仿宋_GB2312" w:eastAsia="仿宋_GB2312"/>
          <w:sz w:val="32"/>
        </w:rPr>
        <w:t>比2016年</w:t>
      </w:r>
      <w:r>
        <w:rPr>
          <w:rFonts w:hint="eastAsia" w:ascii="仿宋_GB2312" w:hAnsi="仿宋_GB2312" w:eastAsia="仿宋_GB2312"/>
          <w:sz w:val="32"/>
          <w:lang w:val="en-US" w:eastAsia="zh-CN"/>
        </w:rPr>
        <w:t>无变动。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2017年项目经费支出比2016年</w:t>
      </w:r>
      <w:r>
        <w:rPr>
          <w:rFonts w:hint="eastAsia" w:ascii="仿宋_GB2312" w:hAnsi="仿宋_GB2312" w:eastAsia="仿宋_GB2312"/>
          <w:sz w:val="32"/>
          <w:lang w:val="en-US" w:eastAsia="zh-CN"/>
        </w:rPr>
        <w:t>无变动。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2017年三公经费预算数比2016年减少0.09万元，减少15%，原因是认真贯彻落实中央各项要求，从严控制三公经费开支。</w:t>
      </w:r>
    </w:p>
    <w:p>
      <w:pPr>
        <w:spacing w:line="540" w:lineRule="exact"/>
        <w:outlineLvl w:val="0"/>
        <w:rPr>
          <w:rFonts w:hint="eastAsia"/>
          <w:b/>
          <w:sz w:val="32"/>
          <w:szCs w:val="32"/>
        </w:rPr>
      </w:pPr>
      <w:r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  <w:t>2017年支出安排的主要项目情况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2017年项目支出3.00万元，分别为：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项目Ⅰ类1.00万元，</w:t>
      </w:r>
      <w:r>
        <w:rPr>
          <w:rFonts w:hint="eastAsia" w:ascii="仿宋_GB2312" w:hAnsi="仿宋_GB2312" w:eastAsia="仿宋_GB2312"/>
          <w:sz w:val="32"/>
          <w:lang w:val="en-US" w:eastAsia="zh-CN"/>
        </w:rPr>
        <w:t>办公费；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项目Ⅲ类2.00万元，</w:t>
      </w:r>
      <w:r>
        <w:rPr>
          <w:rFonts w:hint="eastAsia" w:ascii="仿宋_GB2312" w:hAnsi="仿宋_GB2312" w:eastAsia="仿宋_GB2312"/>
          <w:sz w:val="32"/>
          <w:lang w:val="en-US" w:eastAsia="zh-CN"/>
        </w:rPr>
        <w:t>人事仲裁办案业务经费。</w:t>
      </w:r>
    </w:p>
    <w:p>
      <w:pPr>
        <w:pStyle w:val="8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jc w:val="both"/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仿宋_GB2312" w:eastAsia="黑体"/>
          <w:kern w:val="2"/>
          <w:sz w:val="32"/>
          <w:szCs w:val="32"/>
          <w:lang w:val="en-US" w:eastAsia="zh-CN" w:bidi="ar-SA"/>
        </w:rPr>
        <w:t>绩效管理情况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1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实行绩效目标管理的项目1个，涉及一般公共预算当年拨款2.00万元。</w:t>
      </w:r>
    </w:p>
    <w:p>
      <w:pPr>
        <w:spacing w:line="540" w:lineRule="exact"/>
        <w:ind w:left="630"/>
        <w:rPr>
          <w:rFonts w:hint="eastAsia"/>
          <w:sz w:val="32"/>
          <w:szCs w:val="32"/>
        </w:rPr>
      </w:pPr>
    </w:p>
    <w:p>
      <w:pPr>
        <w:spacing w:line="540" w:lineRule="exact"/>
        <w:ind w:firstLine="1440" w:firstLineChars="450"/>
        <w:rPr>
          <w:rFonts w:hint="eastAsia"/>
          <w:sz w:val="32"/>
          <w:szCs w:val="32"/>
        </w:rPr>
      </w:pPr>
    </w:p>
    <w:p>
      <w:pPr>
        <w:spacing w:line="540" w:lineRule="exact"/>
        <w:ind w:firstLine="1440" w:firstLineChars="450"/>
        <w:rPr>
          <w:rFonts w:hint="eastAsia"/>
          <w:sz w:val="32"/>
          <w:szCs w:val="32"/>
        </w:rPr>
      </w:pPr>
    </w:p>
    <w:p>
      <w:pPr>
        <w:spacing w:line="540" w:lineRule="exact"/>
        <w:ind w:firstLine="3360" w:firstLineChars="1050"/>
        <w:rPr>
          <w:rFonts w:hint="eastAsia"/>
          <w:sz w:val="32"/>
          <w:szCs w:val="32"/>
        </w:rPr>
      </w:pPr>
    </w:p>
    <w:p>
      <w:pPr>
        <w:spacing w:line="540" w:lineRule="exact"/>
        <w:ind w:firstLine="3360" w:firstLineChars="105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临汾市人事争议仲裁委员会办公室</w:t>
      </w:r>
    </w:p>
    <w:p>
      <w:pPr>
        <w:spacing w:line="5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2017年3月2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</w:t>
      </w:r>
    </w:p>
    <w:p>
      <w:pPr>
        <w:spacing w:line="5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>
      <w:pPr>
        <w:spacing w:line="540" w:lineRule="exact"/>
        <w:jc w:val="center"/>
        <w:rPr>
          <w:rFonts w:hint="eastAsia" w:ascii="黑体" w:hAnsi="黑体" w:eastAsia="黑体"/>
          <w:szCs w:val="32"/>
        </w:rPr>
      </w:pPr>
    </w:p>
    <w:p>
      <w:pPr>
        <w:spacing w:line="540" w:lineRule="exact"/>
        <w:jc w:val="both"/>
        <w:rPr>
          <w:rFonts w:hint="eastAsia" w:ascii="黑体" w:hAnsi="黑体" w:eastAsia="黑体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ascii="黑体" w:hAnsi="宋体" w:eastAsia="黑体" w:cs="宋体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474" w:header="851" w:footer="1588" w:gutter="113"/>
          <w:pgNumType w:start="1"/>
          <w:cols w:space="425" w:num="1"/>
          <w:docGrid w:linePitch="579" w:charSpace="-1839"/>
        </w:sectPr>
      </w:pPr>
    </w:p>
    <w:p>
      <w:pPr>
        <w:spacing w:line="560" w:lineRule="exact"/>
        <w:ind w:right="-197" w:rightChars="-94"/>
        <w:jc w:val="both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2017年预算收支总表</w:t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48895</wp:posOffset>
            </wp:positionV>
            <wp:extent cx="6562725" cy="2743200"/>
            <wp:effectExtent l="9525" t="9525" r="19050" b="15875"/>
            <wp:wrapNone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ascii="黑体" w:hAnsi="宋体" w:eastAsia="黑体" w:cs="宋体"/>
          <w:kern w:val="0"/>
          <w:sz w:val="32"/>
          <w:szCs w:val="32"/>
        </w:rPr>
        <w:sectPr>
          <w:footerReference r:id="rId9" w:type="default"/>
          <w:pgSz w:w="16840" w:h="11907" w:orient="landscape"/>
          <w:pgMar w:top="1474" w:right="2098" w:bottom="1474" w:left="1985" w:header="851" w:footer="1588" w:gutter="113"/>
          <w:pgNumType w:start="11"/>
          <w:cols w:space="425" w:num="1"/>
          <w:docGrid w:linePitch="579" w:charSpace="-1839"/>
        </w:sect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2017年一般公共预算安排基本支出</w:t>
      </w: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分经济类科目表</w:t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73660</wp:posOffset>
            </wp:positionV>
            <wp:extent cx="5467350" cy="4772025"/>
            <wp:effectExtent l="9525" t="9525" r="9525" b="19050"/>
            <wp:wrapNone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77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ascii="黑体" w:hAnsi="宋体" w:eastAsia="黑体" w:cs="宋体"/>
          <w:kern w:val="0"/>
          <w:sz w:val="32"/>
          <w:szCs w:val="32"/>
        </w:rPr>
        <w:sectPr>
          <w:headerReference r:id="rId10" w:type="even"/>
          <w:pgSz w:w="11907" w:h="16840"/>
          <w:pgMar w:top="2098" w:right="1474" w:bottom="1985" w:left="1474" w:header="851" w:footer="1588" w:gutter="113"/>
          <w:pgNumType w:start="16"/>
          <w:cols w:space="425" w:num="1"/>
          <w:docGrid w:linePitch="579" w:charSpace="-1839"/>
        </w:sect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2017年财政拨款预算收支总表</w:t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48895</wp:posOffset>
            </wp:positionV>
            <wp:extent cx="8867775" cy="2457450"/>
            <wp:effectExtent l="9525" t="9525" r="12700" b="9525"/>
            <wp:wrapNone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245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ascii="黑体" w:hAnsi="宋体" w:eastAsia="黑体" w:cs="宋体"/>
          <w:kern w:val="0"/>
          <w:sz w:val="32"/>
          <w:szCs w:val="32"/>
        </w:rPr>
        <w:sectPr>
          <w:pgSz w:w="16840" w:h="11907" w:orient="landscape"/>
          <w:pgMar w:top="1474" w:right="2098" w:bottom="1474" w:left="1985" w:header="851" w:footer="1588" w:gutter="113"/>
          <w:pgNumType w:start="17"/>
          <w:cols w:space="425" w:num="1"/>
          <w:docGrid w:linePitch="579" w:charSpace="-1839"/>
        </w:sect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2017年部门预算收入总表</w:t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48895</wp:posOffset>
            </wp:positionV>
            <wp:extent cx="7267575" cy="3600450"/>
            <wp:effectExtent l="9525" t="9525" r="12700" b="9525"/>
            <wp:wrapNone/>
            <wp:docPr id="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360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right="-197" w:rightChars="-94"/>
        <w:jc w:val="both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 xml:space="preserve">        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2017年一般公共预算支出预算表</w:t>
      </w: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48895</wp:posOffset>
            </wp:positionV>
            <wp:extent cx="7315200" cy="4343400"/>
            <wp:effectExtent l="9525" t="9525" r="15875" b="15875"/>
            <wp:wrapNone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34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right="-197" w:rightChars="-94"/>
        <w:jc w:val="both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 xml:space="preserve">          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2017年部门预算支出总表</w:t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48895</wp:posOffset>
            </wp:positionV>
            <wp:extent cx="6438900" cy="3467100"/>
            <wp:effectExtent l="9525" t="9525" r="15875" b="15875"/>
            <wp:wrapNone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46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ind w:right="-197" w:rightChars="-94"/>
        <w:jc w:val="both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2017年政府性基金预算支出预算表</w:t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36830</wp:posOffset>
            </wp:positionV>
            <wp:extent cx="6953250" cy="4343400"/>
            <wp:effectExtent l="9525" t="9525" r="9525" b="15875"/>
            <wp:wrapNone/>
            <wp:docPr id="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34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7200"/>
          <w:tab w:val="left" w:pos="7560"/>
        </w:tabs>
        <w:spacing w:line="540" w:lineRule="exact"/>
        <w:jc w:val="left"/>
        <w:rPr>
          <w:rFonts w:ascii="黑体" w:hAnsi="宋体" w:eastAsia="黑体" w:cs="宋体"/>
          <w:kern w:val="0"/>
          <w:sz w:val="32"/>
          <w:szCs w:val="32"/>
        </w:rPr>
        <w:sectPr>
          <w:headerReference r:id="rId11" w:type="even"/>
          <w:pgSz w:w="16840" w:h="11907" w:orient="landscape"/>
          <w:pgMar w:top="1474" w:right="2098" w:bottom="1474" w:left="1985" w:header="851" w:footer="1588" w:gutter="113"/>
          <w:pgNumType w:start="18"/>
          <w:cols w:space="425" w:num="1"/>
          <w:docGrid w:linePitch="579" w:charSpace="-1839"/>
        </w:sect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2017年“三公”经费预算财政拨款情况表</w:t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60960</wp:posOffset>
            </wp:positionV>
            <wp:extent cx="4133850" cy="4714875"/>
            <wp:effectExtent l="0" t="0" r="6350" b="9525"/>
            <wp:wrapNone/>
            <wp:docPr id="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71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2017年政府性基金预算收入表</w:t>
      </w: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2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4485"/>
        <w:gridCol w:w="28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48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政府性基金收入预算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收入科目编码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收入科目名称</w:t>
            </w: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-197" w:rightChars="-9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2017年机关运行经费预算财政拨款情况统计表</w:t>
      </w: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7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0"/>
        <w:gridCol w:w="43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2017年预算数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临汾市人事争议仲裁委员会办公室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临汾市人事争议仲裁委员会办公室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0.85</w:t>
            </w:r>
          </w:p>
        </w:tc>
      </w:tr>
    </w:tbl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97" w:rightChars="-94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13" w:type="default"/>
      <w:headerReference r:id="rId12" w:type="even"/>
      <w:pgSz w:w="11907" w:h="16840"/>
      <w:pgMar w:top="2098" w:right="1474" w:bottom="1985" w:left="1474" w:header="851" w:footer="1588" w:gutter="113"/>
      <w:pgNumType w:start="21"/>
      <w:cols w:space="425" w:num="1"/>
      <w:docGrid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="-503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85" w:y="13990"/>
      <w:ind w:firstLine="280" w:firstLine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86" w:h="584" w:hRule="exact" w:wrap="around" w:vAnchor="page" w:hAnchor="page" w:x="1776" w:y="14905"/>
      <w:ind w:right="36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 16 —</w:t>
    </w:r>
  </w:p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56" w:y="730"/>
      <w:ind w:firstLine="280" w:firstLine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20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0" w:y="13990"/>
      <w:ind w:firstLine="280" w:firstLine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24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992D"/>
    <w:multiLevelType w:val="singleLevel"/>
    <w:tmpl w:val="58D4992D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1371F"/>
    <w:rsid w:val="40592258"/>
    <w:rsid w:val="5171371F"/>
    <w:rsid w:val="79031D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"/>
    <w:basedOn w:val="1"/>
    <w:link w:val="4"/>
    <w:uiPriority w:val="0"/>
    <w:rPr>
      <w:rFonts w:ascii="Times New Roman" w:hAnsi="Times New Roman"/>
      <w:szCs w:val="24"/>
    </w:rPr>
  </w:style>
  <w:style w:type="character" w:styleId="6">
    <w:name w:val="page number"/>
    <w:basedOn w:val="4"/>
    <w:uiPriority w:val="0"/>
  </w:style>
  <w:style w:type="paragraph" w:customStyle="1" w:styleId="8">
    <w:name w:val="[Normal]"/>
    <w:uiPriority w:val="0"/>
    <w:rPr>
      <w:rFonts w:ascii="宋体" w:hAnsi="宋体"/>
      <w:sz w:val="24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8.emf"/><Relationship Id="rId21" Type="http://schemas.openxmlformats.org/officeDocument/2006/relationships/image" Target="media/image7.emf"/><Relationship Id="rId20" Type="http://schemas.openxmlformats.org/officeDocument/2006/relationships/image" Target="media/image6.emf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image" Target="media/image4.emf"/><Relationship Id="rId17" Type="http://schemas.openxmlformats.org/officeDocument/2006/relationships/image" Target="media/image3.emf"/><Relationship Id="rId16" Type="http://schemas.openxmlformats.org/officeDocument/2006/relationships/image" Target="media/image2.emf"/><Relationship Id="rId15" Type="http://schemas.openxmlformats.org/officeDocument/2006/relationships/image" Target="media/image1.emf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2017-03-24T07:05:00Z</dcterms:created>
  <dc:creator>lenovo</dc:creator>
  <cp:lastModifiedBy>lenovo</cp:lastModifiedBy>
  <cp:lastPrinted>2017-03-24T07:38:54Z</cp:lastPrinted>
  <dcterms:modified xsi:type="dcterms:W3CDTF">2017-03-24T07:40:19Z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