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202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年市级转移支付情况说明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left="105" w:leftChars="50" w:firstLine="480" w:firstLineChars="1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年，市对县（市、区）税收返还和转移支付预算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2097925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万元，具体安排情况如下： 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1、返还性支出19793万元，其中：所得税基数返还支出 -15184万元，成品油税费改革税收返还支出8101 万元，增值税税收返还支出 28084 万元，消费税税收返还支出 2247万元，增值税“五五分享”税收返还支出-3455万元。 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2、一般性转移支付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2029362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万元，主要是市级财力安排和统筹中央、省补助等资金，通过一般转移支付安排的补助县级资金，其中：（1）共同事权转移支付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626951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万元：公共安全共同财政事权转移支付支出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14723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万元，教育共同财政事权转移支付支出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78299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万元，科学技术共同财政事权转移支付支出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万元，文化旅游体育与传媒共同财政事权转移支付支出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5483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万元，社会保障和就业共同财政事权转移支付支出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156357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万元，医疗卫生共同财政事权转移支付支出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187025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万元，节能环保共同财政事权转移支付支出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9635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万元，农林水共同财政事权转移支付支出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112899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万元，交通运输共同财政事权转移支付支出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60302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万元，住房保障共同财政事权转移支付支出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2205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万元；（2）均衡性转移支付支出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1007435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万元；（3）固定数额补助支出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60458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万元；（4）县级基本财力保障机制奖补资金支出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164963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万元；（5）贫困地区转移支付支出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70705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万元；（6）结算补助支出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39608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万元；（7）重点生态功能区转移支付支出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34650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万元；（8）资源枯竭型城市转移支付补助支出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13963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万元；（9）革命老区转移支付支出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10401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万元；（10）体制补助支出9819万元；（12）其他一般转移支付支出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255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3、专项转移支付支出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48770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万元，主要用于文化旅游体育与传媒、节能环保、农林水等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方面。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BE"/>
    <w:rsid w:val="0001778F"/>
    <w:rsid w:val="00212030"/>
    <w:rsid w:val="00517EBE"/>
    <w:rsid w:val="00CE2907"/>
    <w:rsid w:val="00E51F92"/>
    <w:rsid w:val="00EE486B"/>
    <w:rsid w:val="102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672</Characters>
  <Lines>5</Lines>
  <Paragraphs>1</Paragraphs>
  <TotalTime>27</TotalTime>
  <ScaleCrop>false</ScaleCrop>
  <LinksUpToDate>false</LinksUpToDate>
  <CharactersWithSpaces>788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2022-08-28T03:36:00Z</dcterms:created>
  <dc:creator>Administrator</dc:creator>
  <cp:lastModifiedBy>程瑞媛</cp:lastModifiedBy>
  <dcterms:modified xsi:type="dcterms:W3CDTF">2023-04-02T08:49:44Z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E4CCD904F87343818B90EB3E92879D0B</vt:lpwstr>
  </property>
</Properties>
</file>